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4D7F" w14:textId="77777777" w:rsidR="00FD0F63" w:rsidRPr="00E2619C" w:rsidRDefault="00FD0F63">
      <w:pPr>
        <w:rPr>
          <w:b/>
          <w:position w:val="-1"/>
          <w:sz w:val="24"/>
          <w:szCs w:val="24"/>
        </w:rPr>
      </w:pPr>
      <w:bookmarkStart w:id="0" w:name="_GoBack"/>
      <w:bookmarkEnd w:id="0"/>
      <w:r w:rsidRPr="00E2619C">
        <w:rPr>
          <w:b/>
          <w:position w:val="-1"/>
          <w:sz w:val="24"/>
          <w:szCs w:val="24"/>
        </w:rPr>
        <w:t xml:space="preserve">Guideline: Livsstilsfaktorer, </w:t>
      </w:r>
      <w:proofErr w:type="spellStart"/>
      <w:r w:rsidRPr="00E2619C">
        <w:rPr>
          <w:b/>
          <w:position w:val="-1"/>
          <w:sz w:val="24"/>
          <w:szCs w:val="24"/>
        </w:rPr>
        <w:t>fekunditet</w:t>
      </w:r>
      <w:proofErr w:type="spellEnd"/>
      <w:r w:rsidRPr="00E2619C">
        <w:rPr>
          <w:b/>
          <w:position w:val="-1"/>
          <w:sz w:val="24"/>
          <w:szCs w:val="24"/>
        </w:rPr>
        <w:t xml:space="preserve"> og spontan abort</w:t>
      </w:r>
    </w:p>
    <w:p w14:paraId="039FD92E" w14:textId="77777777" w:rsidR="00FD0F63" w:rsidRPr="00E2619C" w:rsidRDefault="00FD0F63">
      <w:pPr>
        <w:rPr>
          <w:position w:val="-1"/>
          <w:sz w:val="24"/>
          <w:szCs w:val="24"/>
        </w:rPr>
      </w:pPr>
      <w:r w:rsidRPr="00E2619C">
        <w:rPr>
          <w:b/>
          <w:position w:val="-1"/>
          <w:sz w:val="24"/>
          <w:szCs w:val="24"/>
        </w:rPr>
        <w:t>Kommentarer og svar i forbindelse med høringsproces december 2019 – februar 2020</w:t>
      </w:r>
    </w:p>
    <w:p w14:paraId="265B7D99" w14:textId="77777777" w:rsidR="00FD0F63" w:rsidRPr="00E2619C" w:rsidRDefault="00FD0F63">
      <w:pPr>
        <w:rPr>
          <w:position w:val="-1"/>
          <w:sz w:val="24"/>
          <w:szCs w:val="24"/>
        </w:rPr>
      </w:pPr>
    </w:p>
    <w:tbl>
      <w:tblPr>
        <w:tblStyle w:val="Tabel-Gitter"/>
        <w:tblW w:w="0" w:type="auto"/>
        <w:tblLook w:val="04A0" w:firstRow="1" w:lastRow="0" w:firstColumn="1" w:lastColumn="0" w:noHBand="0" w:noVBand="1"/>
      </w:tblPr>
      <w:tblGrid>
        <w:gridCol w:w="4809"/>
        <w:gridCol w:w="4819"/>
      </w:tblGrid>
      <w:tr w:rsidR="00FD0F63" w:rsidRPr="00E2619C" w14:paraId="141C79F2" w14:textId="77777777" w:rsidTr="00FD0F63">
        <w:tc>
          <w:tcPr>
            <w:tcW w:w="4889" w:type="dxa"/>
          </w:tcPr>
          <w:p w14:paraId="1EEE1FCA" w14:textId="77777777" w:rsidR="00FD0F63" w:rsidRPr="00E2619C" w:rsidRDefault="00FD0F63">
            <w:pPr>
              <w:rPr>
                <w:b/>
                <w:position w:val="-1"/>
                <w:sz w:val="24"/>
                <w:szCs w:val="24"/>
              </w:rPr>
            </w:pPr>
            <w:r w:rsidRPr="00E2619C">
              <w:rPr>
                <w:b/>
                <w:position w:val="-1"/>
                <w:sz w:val="24"/>
                <w:szCs w:val="24"/>
              </w:rPr>
              <w:t>Kommentarer</w:t>
            </w:r>
          </w:p>
        </w:tc>
        <w:tc>
          <w:tcPr>
            <w:tcW w:w="4889" w:type="dxa"/>
          </w:tcPr>
          <w:p w14:paraId="30464D9E" w14:textId="77777777" w:rsidR="00FD0F63" w:rsidRPr="00E2619C" w:rsidRDefault="00FD0F63">
            <w:pPr>
              <w:rPr>
                <w:b/>
                <w:position w:val="-1"/>
                <w:sz w:val="24"/>
                <w:szCs w:val="24"/>
              </w:rPr>
            </w:pPr>
            <w:r w:rsidRPr="00E2619C">
              <w:rPr>
                <w:b/>
                <w:position w:val="-1"/>
                <w:sz w:val="24"/>
                <w:szCs w:val="24"/>
              </w:rPr>
              <w:t>Svar</w:t>
            </w:r>
          </w:p>
        </w:tc>
      </w:tr>
      <w:tr w:rsidR="00FD0F63" w:rsidRPr="00E2619C" w14:paraId="782813C2" w14:textId="77777777" w:rsidTr="00FD0F63">
        <w:tc>
          <w:tcPr>
            <w:tcW w:w="4889" w:type="dxa"/>
          </w:tcPr>
          <w:p w14:paraId="237F00B3" w14:textId="77777777" w:rsidR="00FD0F63" w:rsidRPr="00E2619C" w:rsidRDefault="00FD0F63">
            <w:pPr>
              <w:rPr>
                <w:b/>
                <w:position w:val="-1"/>
                <w:sz w:val="24"/>
                <w:szCs w:val="24"/>
              </w:rPr>
            </w:pPr>
          </w:p>
        </w:tc>
        <w:tc>
          <w:tcPr>
            <w:tcW w:w="4889" w:type="dxa"/>
          </w:tcPr>
          <w:p w14:paraId="5A4A86F4" w14:textId="77777777" w:rsidR="00FD0F63" w:rsidRPr="00E2619C" w:rsidRDefault="00FD0F63">
            <w:pPr>
              <w:rPr>
                <w:b/>
                <w:position w:val="-1"/>
                <w:sz w:val="24"/>
                <w:szCs w:val="24"/>
              </w:rPr>
            </w:pPr>
          </w:p>
        </w:tc>
      </w:tr>
      <w:tr w:rsidR="00FD0F63" w:rsidRPr="00E2619C" w14:paraId="6CC26B72" w14:textId="77777777" w:rsidTr="00FD0F63">
        <w:tc>
          <w:tcPr>
            <w:tcW w:w="4889" w:type="dxa"/>
          </w:tcPr>
          <w:p w14:paraId="348AE081" w14:textId="77777777" w:rsidR="00FD0F63" w:rsidRPr="00E2619C" w:rsidRDefault="00FD0F63">
            <w:pPr>
              <w:rPr>
                <w:rFonts w:cstheme="minorHAnsi"/>
                <w:position w:val="-1"/>
              </w:rPr>
            </w:pPr>
            <w:r w:rsidRPr="00E2619C">
              <w:rPr>
                <w:rFonts w:cstheme="minorHAnsi"/>
                <w:position w:val="-1"/>
              </w:rPr>
              <w:t>Jakob Ingerslev:</w:t>
            </w:r>
          </w:p>
          <w:p w14:paraId="4ED38569" w14:textId="77777777" w:rsidR="00A7793B" w:rsidRPr="00E2619C" w:rsidRDefault="00D869BB" w:rsidP="00A7793B">
            <w:pPr>
              <w:autoSpaceDE w:val="0"/>
              <w:autoSpaceDN w:val="0"/>
              <w:adjustRightInd w:val="0"/>
              <w:rPr>
                <w:rFonts w:cstheme="minorHAnsi"/>
                <w:bCs/>
                <w:color w:val="000000"/>
              </w:rPr>
            </w:pPr>
            <w:r w:rsidRPr="00E2619C">
              <w:rPr>
                <w:rFonts w:cstheme="minorHAnsi"/>
                <w:bCs/>
                <w:color w:val="000000"/>
              </w:rPr>
              <w:t>Tobak, side 10: B</w:t>
            </w:r>
            <w:r w:rsidR="00A7793B" w:rsidRPr="00E2619C">
              <w:rPr>
                <w:rFonts w:cstheme="minorHAnsi"/>
                <w:bCs/>
                <w:color w:val="000000"/>
              </w:rPr>
              <w:t xml:space="preserve">ør altid frarådes. </w:t>
            </w:r>
          </w:p>
          <w:p w14:paraId="23B1F11A" w14:textId="77777777" w:rsidR="00A7793B" w:rsidRPr="00E2619C" w:rsidRDefault="00A7793B" w:rsidP="00A7793B">
            <w:pPr>
              <w:autoSpaceDE w:val="0"/>
              <w:autoSpaceDN w:val="0"/>
              <w:adjustRightInd w:val="0"/>
              <w:rPr>
                <w:rFonts w:cstheme="minorHAnsi"/>
                <w:color w:val="000000"/>
              </w:rPr>
            </w:pPr>
            <w:r w:rsidRPr="00E2619C">
              <w:rPr>
                <w:rFonts w:cstheme="minorHAnsi"/>
                <w:bCs/>
                <w:color w:val="000000"/>
              </w:rPr>
              <w:t xml:space="preserve">Hvorfor bruger </w:t>
            </w:r>
            <w:r w:rsidR="00D869BB" w:rsidRPr="00E2619C">
              <w:rPr>
                <w:rFonts w:cstheme="minorHAnsi"/>
                <w:bCs/>
                <w:color w:val="000000"/>
              </w:rPr>
              <w:t xml:space="preserve">I </w:t>
            </w:r>
            <w:r w:rsidRPr="00E2619C">
              <w:rPr>
                <w:rFonts w:cstheme="minorHAnsi"/>
                <w:bCs/>
                <w:color w:val="000000"/>
              </w:rPr>
              <w:t xml:space="preserve">for tobak en anden formulering en for de øvrige </w:t>
            </w:r>
            <w:proofErr w:type="gramStart"/>
            <w:r w:rsidRPr="00E2619C">
              <w:rPr>
                <w:rFonts w:cstheme="minorHAnsi"/>
                <w:bCs/>
                <w:color w:val="000000"/>
              </w:rPr>
              <w:t>livsstilsfaktorer ?</w:t>
            </w:r>
            <w:proofErr w:type="gramEnd"/>
            <w:r w:rsidRPr="00E2619C">
              <w:rPr>
                <w:rFonts w:cstheme="minorHAnsi"/>
                <w:bCs/>
                <w:color w:val="000000"/>
              </w:rPr>
              <w:t xml:space="preserve"> ex: </w:t>
            </w:r>
            <w:r w:rsidRPr="00E2619C">
              <w:rPr>
                <w:rFonts w:cstheme="minorHAnsi"/>
                <w:color w:val="000000"/>
              </w:rPr>
              <w:t xml:space="preserve"> </w:t>
            </w:r>
          </w:p>
          <w:p w14:paraId="7C7B31C2" w14:textId="77777777" w:rsidR="00A7793B" w:rsidRPr="00E2619C" w:rsidRDefault="00A7793B" w:rsidP="00A7793B">
            <w:pPr>
              <w:autoSpaceDE w:val="0"/>
              <w:autoSpaceDN w:val="0"/>
              <w:adjustRightInd w:val="0"/>
              <w:rPr>
                <w:rFonts w:cstheme="minorHAnsi"/>
                <w:color w:val="000000"/>
              </w:rPr>
            </w:pPr>
            <w:r w:rsidRPr="00E2619C">
              <w:rPr>
                <w:rFonts w:cstheme="minorHAnsi"/>
                <w:color w:val="000000"/>
              </w:rPr>
              <w:t xml:space="preserve">mindsket chance for at opnå spontan graviditet eller graviditet ved fertilitetsbehandling.   </w:t>
            </w:r>
          </w:p>
          <w:p w14:paraId="1D30CBFA" w14:textId="77777777" w:rsidR="00A7793B" w:rsidRPr="00E2619C" w:rsidRDefault="00A7793B" w:rsidP="00A7793B">
            <w:pPr>
              <w:autoSpaceDE w:val="0"/>
              <w:autoSpaceDN w:val="0"/>
              <w:adjustRightInd w:val="0"/>
              <w:rPr>
                <w:rFonts w:cstheme="minorHAnsi"/>
              </w:rPr>
            </w:pPr>
          </w:p>
          <w:p w14:paraId="740DE9E5" w14:textId="77777777" w:rsidR="00D869BB" w:rsidRPr="00E2619C" w:rsidRDefault="00D869BB" w:rsidP="00A7793B">
            <w:pPr>
              <w:autoSpaceDE w:val="0"/>
              <w:autoSpaceDN w:val="0"/>
              <w:adjustRightInd w:val="0"/>
              <w:rPr>
                <w:rFonts w:cstheme="minorHAnsi"/>
              </w:rPr>
            </w:pPr>
          </w:p>
          <w:p w14:paraId="54D2D93F" w14:textId="77777777" w:rsidR="00FD0F63" w:rsidRPr="00E2619C" w:rsidRDefault="00FD0F63">
            <w:pPr>
              <w:rPr>
                <w:rFonts w:cstheme="minorHAnsi"/>
                <w:position w:val="-1"/>
              </w:rPr>
            </w:pPr>
          </w:p>
        </w:tc>
        <w:tc>
          <w:tcPr>
            <w:tcW w:w="4889" w:type="dxa"/>
          </w:tcPr>
          <w:p w14:paraId="37E524D2" w14:textId="759663A9" w:rsidR="00FD0F63" w:rsidRPr="00E2619C" w:rsidRDefault="00BE528E">
            <w:pPr>
              <w:rPr>
                <w:rFonts w:cstheme="minorHAnsi"/>
                <w:position w:val="-1"/>
              </w:rPr>
            </w:pPr>
            <w:r w:rsidRPr="00E2619C">
              <w:rPr>
                <w:rFonts w:cstheme="minorHAnsi"/>
                <w:position w:val="-1"/>
              </w:rPr>
              <w:t>God observation. Formuleringerne for koffein og alkohol er nu justeret, sådan at de fremstår som egentlige anbefalinger.</w:t>
            </w:r>
          </w:p>
        </w:tc>
      </w:tr>
      <w:tr w:rsidR="00FD0F63" w:rsidRPr="00E2619C" w14:paraId="79232095" w14:textId="77777777" w:rsidTr="00FD0F63">
        <w:tc>
          <w:tcPr>
            <w:tcW w:w="4889" w:type="dxa"/>
          </w:tcPr>
          <w:p w14:paraId="79A0E87A" w14:textId="77777777" w:rsidR="00FD0F63" w:rsidRPr="00E2619C" w:rsidRDefault="00D869BB">
            <w:pPr>
              <w:rPr>
                <w:rFonts w:cstheme="minorHAnsi"/>
                <w:position w:val="-1"/>
              </w:rPr>
            </w:pPr>
            <w:r w:rsidRPr="00E2619C">
              <w:rPr>
                <w:rFonts w:cstheme="minorHAnsi"/>
                <w:position w:val="-1"/>
              </w:rPr>
              <w:t xml:space="preserve">Kaffe/koffein, side 15: </w:t>
            </w:r>
            <w:r w:rsidRPr="00E2619C">
              <w:rPr>
                <w:rFonts w:cstheme="minorHAnsi"/>
                <w:color w:val="000000"/>
              </w:rPr>
              <w:t xml:space="preserve">op til 4: Måske har jeg ikke læst ordentlig på den bagved liggende </w:t>
            </w:r>
            <w:proofErr w:type="spellStart"/>
            <w:r w:rsidRPr="00E2619C">
              <w:rPr>
                <w:rFonts w:cstheme="minorHAnsi"/>
                <w:color w:val="000000"/>
              </w:rPr>
              <w:t>litt</w:t>
            </w:r>
            <w:proofErr w:type="spellEnd"/>
            <w:r w:rsidRPr="00E2619C">
              <w:rPr>
                <w:rFonts w:cstheme="minorHAnsi"/>
                <w:color w:val="000000"/>
              </w:rPr>
              <w:t xml:space="preserve">., men der er jo et interval over 4 - hvad sker der </w:t>
            </w:r>
            <w:proofErr w:type="spellStart"/>
            <w:proofErr w:type="gramStart"/>
            <w:r w:rsidRPr="00E2619C">
              <w:rPr>
                <w:rFonts w:cstheme="minorHAnsi"/>
                <w:color w:val="000000"/>
              </w:rPr>
              <w:t>der</w:t>
            </w:r>
            <w:proofErr w:type="spellEnd"/>
            <w:r w:rsidRPr="00E2619C">
              <w:rPr>
                <w:rFonts w:cstheme="minorHAnsi"/>
                <w:color w:val="000000"/>
              </w:rPr>
              <w:t xml:space="preserve"> ?</w:t>
            </w:r>
            <w:proofErr w:type="gramEnd"/>
          </w:p>
        </w:tc>
        <w:tc>
          <w:tcPr>
            <w:tcW w:w="4889" w:type="dxa"/>
          </w:tcPr>
          <w:p w14:paraId="2D037819" w14:textId="5D513780" w:rsidR="00FD0F63" w:rsidRPr="00E2619C" w:rsidRDefault="006512FA">
            <w:pPr>
              <w:rPr>
                <w:rFonts w:cstheme="minorHAnsi"/>
                <w:position w:val="-1"/>
              </w:rPr>
            </w:pPr>
            <w:r>
              <w:rPr>
                <w:rFonts w:cstheme="minorHAnsi"/>
                <w:position w:val="-1"/>
              </w:rPr>
              <w:t>Korrekt. Det er us</w:t>
            </w:r>
            <w:r w:rsidR="00BE528E" w:rsidRPr="00E2619C">
              <w:rPr>
                <w:rFonts w:cstheme="minorHAnsi"/>
                <w:position w:val="-1"/>
              </w:rPr>
              <w:t>ikkert hvad et forbrug over 400 mg/dag sv.t. 4 kopper kaffe betyder, hvorfor vi alene konkluderer på betydningen af et forbrug op til denne grænse.</w:t>
            </w:r>
          </w:p>
        </w:tc>
      </w:tr>
      <w:tr w:rsidR="00E42A03" w:rsidRPr="00E2619C" w14:paraId="459D4402" w14:textId="77777777" w:rsidTr="00FD0F63">
        <w:tc>
          <w:tcPr>
            <w:tcW w:w="4889" w:type="dxa"/>
          </w:tcPr>
          <w:p w14:paraId="53A5FB99" w14:textId="77777777" w:rsidR="00E42A03" w:rsidRPr="00E2619C" w:rsidRDefault="00E42A03">
            <w:pPr>
              <w:rPr>
                <w:rFonts w:cstheme="minorHAnsi"/>
                <w:position w:val="-1"/>
              </w:rPr>
            </w:pPr>
          </w:p>
        </w:tc>
        <w:tc>
          <w:tcPr>
            <w:tcW w:w="4889" w:type="dxa"/>
          </w:tcPr>
          <w:p w14:paraId="21B20602" w14:textId="77777777" w:rsidR="00E42A03" w:rsidRPr="00E2619C" w:rsidRDefault="00E42A03">
            <w:pPr>
              <w:rPr>
                <w:rFonts w:cstheme="minorHAnsi"/>
                <w:position w:val="-1"/>
              </w:rPr>
            </w:pPr>
          </w:p>
        </w:tc>
      </w:tr>
      <w:tr w:rsidR="00FD0F63" w:rsidRPr="00E2619C" w14:paraId="7C92C386" w14:textId="77777777" w:rsidTr="00FD0F63">
        <w:tc>
          <w:tcPr>
            <w:tcW w:w="4889" w:type="dxa"/>
          </w:tcPr>
          <w:p w14:paraId="3D46CCEE" w14:textId="77777777" w:rsidR="00FD0F63" w:rsidRPr="00E2619C" w:rsidRDefault="00FD0F63">
            <w:pPr>
              <w:rPr>
                <w:rFonts w:cstheme="minorHAnsi"/>
                <w:position w:val="-1"/>
              </w:rPr>
            </w:pPr>
            <w:r w:rsidRPr="00E2619C">
              <w:rPr>
                <w:rFonts w:cstheme="minorHAnsi"/>
                <w:position w:val="-1"/>
              </w:rPr>
              <w:t>Nina La Cour Freiesleben:</w:t>
            </w:r>
          </w:p>
          <w:p w14:paraId="603095E2" w14:textId="77777777" w:rsidR="00FD0F63" w:rsidRPr="00E2619C" w:rsidRDefault="000B09A2">
            <w:pPr>
              <w:rPr>
                <w:rFonts w:cstheme="minorHAnsi"/>
                <w:position w:val="-1"/>
              </w:rPr>
            </w:pPr>
            <w:r w:rsidRPr="00E2619C">
              <w:rPr>
                <w:rFonts w:cstheme="minorHAnsi"/>
                <w:color w:val="212121"/>
                <w:shd w:val="clear" w:color="auto" w:fill="FFFFFF"/>
              </w:rPr>
              <w:t xml:space="preserve">I teksten står at det primært er baseret på koffein fra kaffeindtag, men i evidenstabellen står kaffe/koffein. Derfor: Kan vi være sikre på at der er effekt allerede fra ”alene” en kop kaffe om dagen? Eller er der risiko for at kvinderne der indgår i analyserne også har indtaget koffein fra andre kilder som ikke er kendte? Hvad er der korrigeret for? Er der korrigeret for nok </w:t>
            </w:r>
            <w:proofErr w:type="spellStart"/>
            <w:r w:rsidRPr="00E2619C">
              <w:rPr>
                <w:rFonts w:cstheme="minorHAnsi"/>
                <w:color w:val="212121"/>
                <w:shd w:val="clear" w:color="auto" w:fill="FFFFFF"/>
              </w:rPr>
              <w:t>confounders</w:t>
            </w:r>
            <w:proofErr w:type="spellEnd"/>
            <w:r w:rsidRPr="00E2619C">
              <w:rPr>
                <w:rFonts w:cstheme="minorHAnsi"/>
                <w:color w:val="212121"/>
                <w:shd w:val="clear" w:color="auto" w:fill="FFFFFF"/>
              </w:rPr>
              <w:t xml:space="preserve"> til at evidensniveauet klassificeres som moderat? (Synes det er meget vigtigt, især hvis anbefalingen ender anderledes end den fra SST)</w:t>
            </w:r>
          </w:p>
        </w:tc>
        <w:tc>
          <w:tcPr>
            <w:tcW w:w="4889" w:type="dxa"/>
          </w:tcPr>
          <w:p w14:paraId="3BB73B46" w14:textId="180A9530" w:rsidR="00FD0F63" w:rsidRPr="00E2619C" w:rsidRDefault="00BE528E">
            <w:pPr>
              <w:rPr>
                <w:rFonts w:cstheme="minorHAnsi"/>
                <w:position w:val="-1"/>
              </w:rPr>
            </w:pPr>
            <w:r w:rsidRPr="00E2619C">
              <w:rPr>
                <w:rFonts w:cstheme="minorHAnsi"/>
                <w:position w:val="-1"/>
              </w:rPr>
              <w:t>Vi har slettet sætningen om, at evidensen overvejende er baseret på studier af kaffe, idet en lang række studier også inkluderer forbrug af andre koffeinholdige produkter.</w:t>
            </w:r>
          </w:p>
          <w:p w14:paraId="690A20E3" w14:textId="449C851F" w:rsidR="00BE528E" w:rsidRPr="00E2619C" w:rsidRDefault="00BE528E">
            <w:pPr>
              <w:rPr>
                <w:rFonts w:cstheme="minorHAnsi"/>
                <w:position w:val="-1"/>
              </w:rPr>
            </w:pPr>
          </w:p>
          <w:p w14:paraId="5E532593" w14:textId="544E5F0A" w:rsidR="00BE528E" w:rsidRPr="00E2619C" w:rsidRDefault="00BE528E">
            <w:pPr>
              <w:rPr>
                <w:rFonts w:cstheme="minorHAnsi"/>
                <w:position w:val="-1"/>
              </w:rPr>
            </w:pPr>
            <w:r w:rsidRPr="00E2619C">
              <w:rPr>
                <w:rFonts w:cstheme="minorHAnsi"/>
                <w:position w:val="-1"/>
              </w:rPr>
              <w:t xml:space="preserve">Mht. </w:t>
            </w:r>
            <w:proofErr w:type="spellStart"/>
            <w:r w:rsidRPr="00E2619C">
              <w:rPr>
                <w:rFonts w:cstheme="minorHAnsi"/>
                <w:position w:val="-1"/>
              </w:rPr>
              <w:t>confounding</w:t>
            </w:r>
            <w:proofErr w:type="spellEnd"/>
            <w:r w:rsidRPr="00E2619C">
              <w:rPr>
                <w:rFonts w:cstheme="minorHAnsi"/>
                <w:position w:val="-1"/>
              </w:rPr>
              <w:t xml:space="preserve">: </w:t>
            </w:r>
            <w:r w:rsidR="00E86805" w:rsidRPr="00E2619C">
              <w:rPr>
                <w:rFonts w:cstheme="minorHAnsi"/>
                <w:position w:val="-1"/>
              </w:rPr>
              <w:t xml:space="preserve">Der er i vidt omfang korrigeret for almindelige </w:t>
            </w:r>
            <w:proofErr w:type="spellStart"/>
            <w:r w:rsidR="00E86805" w:rsidRPr="00E2619C">
              <w:rPr>
                <w:rFonts w:cstheme="minorHAnsi"/>
                <w:position w:val="-1"/>
              </w:rPr>
              <w:t>confoundere</w:t>
            </w:r>
            <w:proofErr w:type="spellEnd"/>
            <w:r w:rsidR="00E86805" w:rsidRPr="00E2619C">
              <w:rPr>
                <w:rFonts w:cstheme="minorHAnsi"/>
                <w:position w:val="-1"/>
              </w:rPr>
              <w:t xml:space="preserve"> som alder, bmi, tobak, alkohol og uddannelse. På denne baggrund har vi i guidelinegruppen diskuteret netop denne problemstilling allerede under udarbejdelsen i 2019 og fundet det relevant at gradere evidensniveauet for en række af studierne og samlet som moderat. </w:t>
            </w:r>
            <w:r w:rsidRPr="00E2619C">
              <w:rPr>
                <w:rFonts w:cstheme="minorHAnsi"/>
                <w:position w:val="-1"/>
              </w:rPr>
              <w:t xml:space="preserve"> </w:t>
            </w:r>
          </w:p>
          <w:p w14:paraId="42F2ED9F" w14:textId="178DF330" w:rsidR="00BE528E" w:rsidRPr="00E2619C" w:rsidRDefault="00BE528E">
            <w:pPr>
              <w:rPr>
                <w:rFonts w:cstheme="minorHAnsi"/>
                <w:position w:val="-1"/>
              </w:rPr>
            </w:pPr>
          </w:p>
        </w:tc>
      </w:tr>
      <w:tr w:rsidR="00FD0F63" w:rsidRPr="00E2619C" w14:paraId="51EB742A" w14:textId="77777777" w:rsidTr="00FD0F63">
        <w:tc>
          <w:tcPr>
            <w:tcW w:w="4889" w:type="dxa"/>
          </w:tcPr>
          <w:p w14:paraId="2563F8EC" w14:textId="77777777" w:rsidR="00FD0F63" w:rsidRPr="00E2619C" w:rsidRDefault="00FD0F63">
            <w:pPr>
              <w:rPr>
                <w:rFonts w:cstheme="minorHAnsi"/>
                <w:position w:val="-1"/>
              </w:rPr>
            </w:pPr>
          </w:p>
        </w:tc>
        <w:tc>
          <w:tcPr>
            <w:tcW w:w="4889" w:type="dxa"/>
          </w:tcPr>
          <w:p w14:paraId="07513859" w14:textId="77777777" w:rsidR="00FD0F63" w:rsidRPr="00E2619C" w:rsidRDefault="00FD0F63">
            <w:pPr>
              <w:rPr>
                <w:rFonts w:cstheme="minorHAnsi"/>
                <w:position w:val="-1"/>
              </w:rPr>
            </w:pPr>
          </w:p>
        </w:tc>
      </w:tr>
      <w:tr w:rsidR="00FD0F63" w:rsidRPr="00E2619C" w14:paraId="68F51531" w14:textId="77777777" w:rsidTr="00FD0F63">
        <w:tc>
          <w:tcPr>
            <w:tcW w:w="4889" w:type="dxa"/>
          </w:tcPr>
          <w:p w14:paraId="50D4542F" w14:textId="77777777" w:rsidR="00FD0F63" w:rsidRPr="00E2619C" w:rsidRDefault="00FD0F63">
            <w:pPr>
              <w:rPr>
                <w:rFonts w:cstheme="minorHAnsi"/>
                <w:position w:val="-1"/>
              </w:rPr>
            </w:pPr>
            <w:r w:rsidRPr="00E2619C">
              <w:rPr>
                <w:rFonts w:cstheme="minorHAnsi"/>
                <w:position w:val="-1"/>
              </w:rPr>
              <w:t>Henriette Svarre Nielsen:</w:t>
            </w:r>
          </w:p>
          <w:p w14:paraId="7CAE829C" w14:textId="77777777" w:rsidR="000B09A2" w:rsidRPr="00E2619C" w:rsidRDefault="000B09A2" w:rsidP="000B09A2">
            <w:pPr>
              <w:pStyle w:val="NormalWeb"/>
              <w:shd w:val="clear" w:color="auto" w:fill="FFFFFF"/>
              <w:spacing w:after="166" w:afterAutospacing="0"/>
              <w:rPr>
                <w:rFonts w:asciiTheme="minorHAnsi" w:hAnsiTheme="minorHAnsi" w:cstheme="minorHAnsi"/>
                <w:color w:val="212121"/>
                <w:sz w:val="22"/>
                <w:szCs w:val="22"/>
              </w:rPr>
            </w:pPr>
            <w:r w:rsidRPr="00E2619C">
              <w:rPr>
                <w:rFonts w:asciiTheme="minorHAnsi" w:hAnsiTheme="minorHAnsi" w:cstheme="minorHAnsi"/>
                <w:color w:val="000000"/>
                <w:sz w:val="22"/>
                <w:szCs w:val="22"/>
              </w:rPr>
              <w:t xml:space="preserve">Jeg synes det er dybt interessant om kaffe indtaget i graviditeten påvirker </w:t>
            </w:r>
            <w:proofErr w:type="spellStart"/>
            <w:r w:rsidRPr="00E2619C">
              <w:rPr>
                <w:rFonts w:asciiTheme="minorHAnsi" w:hAnsiTheme="minorHAnsi" w:cstheme="minorHAnsi"/>
                <w:color w:val="000000"/>
                <w:sz w:val="22"/>
                <w:szCs w:val="22"/>
              </w:rPr>
              <w:t>outcome</w:t>
            </w:r>
            <w:proofErr w:type="spellEnd"/>
            <w:r w:rsidRPr="00E2619C">
              <w:rPr>
                <w:rFonts w:asciiTheme="minorHAnsi" w:hAnsiTheme="minorHAnsi" w:cstheme="minorHAnsi"/>
                <w:color w:val="000000"/>
                <w:sz w:val="22"/>
                <w:szCs w:val="22"/>
              </w:rPr>
              <w:t xml:space="preserve">. Specielt fordi en meget stor del af de gravide mister lysten til kaffe når de bliver gravide (jeg er selv den største kaffeelsker og det at miste lysten til kaffe har været lige så </w:t>
            </w:r>
            <w:proofErr w:type="spellStart"/>
            <w:r w:rsidRPr="00E2619C">
              <w:rPr>
                <w:rFonts w:asciiTheme="minorHAnsi" w:hAnsiTheme="minorHAnsi" w:cstheme="minorHAnsi"/>
                <w:color w:val="000000"/>
                <w:sz w:val="22"/>
                <w:szCs w:val="22"/>
              </w:rPr>
              <w:t>indikativt</w:t>
            </w:r>
            <w:proofErr w:type="spellEnd"/>
            <w:r w:rsidRPr="00E2619C">
              <w:rPr>
                <w:rFonts w:asciiTheme="minorHAnsi" w:hAnsiTheme="minorHAnsi" w:cstheme="minorHAnsi"/>
                <w:color w:val="000000"/>
                <w:sz w:val="22"/>
                <w:szCs w:val="22"/>
              </w:rPr>
              <w:t xml:space="preserve"> for graviditet som positiv </w:t>
            </w:r>
            <w:proofErr w:type="spellStart"/>
            <w:r w:rsidRPr="00E2619C">
              <w:rPr>
                <w:rFonts w:asciiTheme="minorHAnsi" w:hAnsiTheme="minorHAnsi" w:cstheme="minorHAnsi"/>
                <w:color w:val="000000"/>
                <w:sz w:val="22"/>
                <w:szCs w:val="22"/>
              </w:rPr>
              <w:t>hCG</w:t>
            </w:r>
            <w:proofErr w:type="spellEnd"/>
            <w:r w:rsidRPr="00E2619C">
              <w:rPr>
                <w:rFonts w:asciiTheme="minorHAnsi" w:hAnsiTheme="minorHAnsi" w:cstheme="minorHAnsi"/>
                <w:color w:val="000000"/>
                <w:sz w:val="22"/>
                <w:szCs w:val="22"/>
              </w:rPr>
              <w:t>) og vedvarende kaffedrikning dermed kan være en indikator på at graviditeten ikke udvikles i stedet for årsag til tab.</w:t>
            </w:r>
          </w:p>
          <w:p w14:paraId="4DD59E52" w14:textId="77777777" w:rsidR="000B09A2" w:rsidRPr="006512FA" w:rsidRDefault="000B09A2" w:rsidP="000B09A2">
            <w:pPr>
              <w:pStyle w:val="NormalWeb"/>
              <w:shd w:val="clear" w:color="auto" w:fill="FFFFFF"/>
              <w:spacing w:after="166" w:afterAutospacing="0"/>
              <w:rPr>
                <w:rFonts w:asciiTheme="minorHAnsi" w:hAnsiTheme="minorHAnsi" w:cstheme="minorHAnsi"/>
                <w:color w:val="212121"/>
                <w:sz w:val="22"/>
                <w:szCs w:val="22"/>
                <w:lang w:val="en-US"/>
              </w:rPr>
            </w:pPr>
            <w:r w:rsidRPr="00E2619C">
              <w:rPr>
                <w:rFonts w:asciiTheme="minorHAnsi" w:hAnsiTheme="minorHAnsi" w:cstheme="minorHAnsi"/>
                <w:color w:val="000000"/>
                <w:sz w:val="22"/>
                <w:szCs w:val="22"/>
              </w:rPr>
              <w:lastRenderedPageBreak/>
              <w:t xml:space="preserve">Det skriver I </w:t>
            </w:r>
            <w:proofErr w:type="spellStart"/>
            <w:r w:rsidRPr="00E2619C">
              <w:rPr>
                <w:rFonts w:asciiTheme="minorHAnsi" w:hAnsiTheme="minorHAnsi" w:cstheme="minorHAnsi"/>
                <w:color w:val="000000"/>
                <w:sz w:val="22"/>
                <w:szCs w:val="22"/>
              </w:rPr>
              <w:t>i</w:t>
            </w:r>
            <w:proofErr w:type="spellEnd"/>
            <w:r w:rsidRPr="00E2619C">
              <w:rPr>
                <w:rFonts w:asciiTheme="minorHAnsi" w:hAnsiTheme="minorHAnsi" w:cstheme="minorHAnsi"/>
                <w:color w:val="000000"/>
                <w:sz w:val="22"/>
                <w:szCs w:val="22"/>
              </w:rPr>
              <w:t xml:space="preserve"> Lyngsøe 2017. </w:t>
            </w:r>
            <w:r w:rsidRPr="006512FA">
              <w:rPr>
                <w:rFonts w:asciiTheme="minorHAnsi" w:hAnsiTheme="minorHAnsi" w:cstheme="minorHAnsi"/>
                <w:i/>
                <w:iCs/>
                <w:color w:val="000000"/>
                <w:sz w:val="22"/>
                <w:szCs w:val="22"/>
                <w:lang w:val="en-US"/>
              </w:rPr>
              <w:t xml:space="preserve">In the context of SAB, reverse causation </w:t>
            </w:r>
            <w:proofErr w:type="gramStart"/>
            <w:r w:rsidRPr="006512FA">
              <w:rPr>
                <w:rFonts w:asciiTheme="minorHAnsi" w:hAnsiTheme="minorHAnsi" w:cstheme="minorHAnsi"/>
                <w:i/>
                <w:iCs/>
                <w:color w:val="000000"/>
                <w:sz w:val="22"/>
                <w:szCs w:val="22"/>
                <w:lang w:val="en-US"/>
              </w:rPr>
              <w:t>has to</w:t>
            </w:r>
            <w:proofErr w:type="gramEnd"/>
            <w:r w:rsidRPr="006512FA">
              <w:rPr>
                <w:rFonts w:asciiTheme="minorHAnsi" w:hAnsiTheme="minorHAnsi" w:cstheme="minorHAnsi"/>
                <w:i/>
                <w:iCs/>
                <w:color w:val="000000"/>
                <w:sz w:val="22"/>
                <w:szCs w:val="22"/>
                <w:lang w:val="en-US"/>
              </w:rPr>
              <w:t xml:space="preserve"> be considered; a viable pregnancy might produce more pronounced pregnancy symptoms, resulting in greater aversion to coffee and thus a decreased caffeine intake. However, a clinically verified SAB may be diagnosed weeks after the actual fetal demise and thus the yet unrecognized pregnancy loss might be the cause of an increased caffeine consumption rather than the opposite – an increased consumption causing adverse reproductive outcomes. Six cohort studies out of the included 32 studies on SAB verified the presence of a pregnancy at the time of reporting exposure, thereby reducing the risk of reversed causation. Among these studies, an association between caffeine intake and SAB was indicated, albeit only statistically significant in three studies.</w:t>
            </w:r>
          </w:p>
          <w:p w14:paraId="17278F2D" w14:textId="77777777" w:rsidR="00FD0F63" w:rsidRPr="00E2619C" w:rsidRDefault="000B09A2" w:rsidP="000B09A2">
            <w:pPr>
              <w:pStyle w:val="NormalWeb"/>
              <w:shd w:val="clear" w:color="auto" w:fill="FFFFFF"/>
              <w:spacing w:after="166" w:afterAutospacing="0"/>
              <w:rPr>
                <w:rFonts w:asciiTheme="minorHAnsi" w:hAnsiTheme="minorHAnsi" w:cstheme="minorHAnsi"/>
                <w:color w:val="212121"/>
                <w:sz w:val="22"/>
                <w:szCs w:val="22"/>
              </w:rPr>
            </w:pPr>
            <w:r w:rsidRPr="00E2619C">
              <w:rPr>
                <w:rFonts w:asciiTheme="minorHAnsi" w:hAnsiTheme="minorHAnsi" w:cstheme="minorHAnsi"/>
                <w:color w:val="000000"/>
                <w:sz w:val="22"/>
                <w:szCs w:val="22"/>
              </w:rPr>
              <w:t xml:space="preserve">I min optik er det disse studier der kan bruges til at afdække om der er sammenhæng mellem kaffe i graviditeten og </w:t>
            </w:r>
            <w:proofErr w:type="spellStart"/>
            <w:r w:rsidRPr="00E2619C">
              <w:rPr>
                <w:rFonts w:asciiTheme="minorHAnsi" w:hAnsiTheme="minorHAnsi" w:cstheme="minorHAnsi"/>
                <w:color w:val="000000"/>
                <w:sz w:val="22"/>
                <w:szCs w:val="22"/>
              </w:rPr>
              <w:t>outcome</w:t>
            </w:r>
            <w:proofErr w:type="spellEnd"/>
            <w:r w:rsidRPr="00E2619C">
              <w:rPr>
                <w:rFonts w:asciiTheme="minorHAnsi" w:hAnsiTheme="minorHAnsi" w:cstheme="minorHAnsi"/>
                <w:color w:val="000000"/>
                <w:sz w:val="22"/>
                <w:szCs w:val="22"/>
              </w:rPr>
              <w:t xml:space="preserve">. Der er så vidt jeg kan læse artiklen ikke rapporteret en analyse af sammenhæng mellem kaffeindtag og </w:t>
            </w:r>
            <w:proofErr w:type="spellStart"/>
            <w:r w:rsidRPr="00E2619C">
              <w:rPr>
                <w:rFonts w:asciiTheme="minorHAnsi" w:hAnsiTheme="minorHAnsi" w:cstheme="minorHAnsi"/>
                <w:color w:val="000000"/>
                <w:sz w:val="22"/>
                <w:szCs w:val="22"/>
              </w:rPr>
              <w:t>outcome</w:t>
            </w:r>
            <w:proofErr w:type="spellEnd"/>
            <w:r w:rsidRPr="00E2619C">
              <w:rPr>
                <w:rFonts w:asciiTheme="minorHAnsi" w:hAnsiTheme="minorHAnsi" w:cstheme="minorHAnsi"/>
                <w:color w:val="000000"/>
                <w:sz w:val="22"/>
                <w:szCs w:val="22"/>
              </w:rPr>
              <w:t xml:space="preserve"> samlet for disse 6 studier.  Hvis disse studier peger på at en kop om dagen øger risikoen for tab er det ok men fordi der er associationer i studier der ikke har klare opdelinger af eksposition og </w:t>
            </w:r>
            <w:proofErr w:type="spellStart"/>
            <w:r w:rsidRPr="00E2619C">
              <w:rPr>
                <w:rFonts w:asciiTheme="minorHAnsi" w:hAnsiTheme="minorHAnsi" w:cstheme="minorHAnsi"/>
                <w:color w:val="000000"/>
                <w:sz w:val="22"/>
                <w:szCs w:val="22"/>
              </w:rPr>
              <w:t>outcome</w:t>
            </w:r>
            <w:proofErr w:type="spellEnd"/>
            <w:r w:rsidRPr="00E2619C">
              <w:rPr>
                <w:rFonts w:asciiTheme="minorHAnsi" w:hAnsiTheme="minorHAnsi" w:cstheme="minorHAnsi"/>
                <w:color w:val="000000"/>
                <w:sz w:val="22"/>
                <w:szCs w:val="22"/>
              </w:rPr>
              <w:t xml:space="preserve">, om kaffen indtages i graviditeten og hvornår tabet </w:t>
            </w:r>
            <w:proofErr w:type="gramStart"/>
            <w:r w:rsidRPr="00E2619C">
              <w:rPr>
                <w:rFonts w:asciiTheme="minorHAnsi" w:hAnsiTheme="minorHAnsi" w:cstheme="minorHAnsi"/>
                <w:color w:val="000000"/>
                <w:sz w:val="22"/>
                <w:szCs w:val="22"/>
              </w:rPr>
              <w:t>sker  (</w:t>
            </w:r>
            <w:proofErr w:type="gramEnd"/>
            <w:r w:rsidRPr="00E2619C">
              <w:rPr>
                <w:rFonts w:asciiTheme="minorHAnsi" w:hAnsiTheme="minorHAnsi" w:cstheme="minorHAnsi"/>
                <w:color w:val="000000"/>
                <w:sz w:val="22"/>
                <w:szCs w:val="22"/>
              </w:rPr>
              <w:t xml:space="preserve">altså virkelig har fjernet </w:t>
            </w:r>
            <w:proofErr w:type="spellStart"/>
            <w:r w:rsidRPr="00E2619C">
              <w:rPr>
                <w:rFonts w:asciiTheme="minorHAnsi" w:hAnsiTheme="minorHAnsi" w:cstheme="minorHAnsi"/>
                <w:color w:val="000000"/>
                <w:sz w:val="22"/>
                <w:szCs w:val="22"/>
              </w:rPr>
              <w:t>reversed</w:t>
            </w:r>
            <w:proofErr w:type="spellEnd"/>
            <w:r w:rsidRPr="00E2619C">
              <w:rPr>
                <w:rFonts w:asciiTheme="minorHAnsi" w:hAnsiTheme="minorHAnsi" w:cstheme="minorHAnsi"/>
                <w:color w:val="000000"/>
                <w:sz w:val="22"/>
                <w:szCs w:val="22"/>
              </w:rPr>
              <w:t xml:space="preserve"> </w:t>
            </w:r>
            <w:proofErr w:type="spellStart"/>
            <w:r w:rsidRPr="00E2619C">
              <w:rPr>
                <w:rFonts w:asciiTheme="minorHAnsi" w:hAnsiTheme="minorHAnsi" w:cstheme="minorHAnsi"/>
                <w:color w:val="000000"/>
                <w:sz w:val="22"/>
                <w:szCs w:val="22"/>
              </w:rPr>
              <w:t>causation</w:t>
            </w:r>
            <w:proofErr w:type="spellEnd"/>
            <w:r w:rsidRPr="00E2619C">
              <w:rPr>
                <w:rFonts w:asciiTheme="minorHAnsi" w:hAnsiTheme="minorHAnsi" w:cstheme="minorHAnsi"/>
                <w:color w:val="000000"/>
                <w:sz w:val="22"/>
                <w:szCs w:val="22"/>
              </w:rPr>
              <w:t>) mener jeg man skal være påpasselig med en anbefaling om max 1 kop kaffe om dagen.</w:t>
            </w:r>
          </w:p>
        </w:tc>
        <w:tc>
          <w:tcPr>
            <w:tcW w:w="4889" w:type="dxa"/>
          </w:tcPr>
          <w:p w14:paraId="5BF7CC3E" w14:textId="77777777" w:rsidR="00FD0F63" w:rsidRPr="00E2619C" w:rsidRDefault="00FE78FC">
            <w:pPr>
              <w:rPr>
                <w:rFonts w:cstheme="minorHAnsi"/>
                <w:position w:val="-1"/>
              </w:rPr>
            </w:pPr>
            <w:r w:rsidRPr="00E2619C">
              <w:rPr>
                <w:rFonts w:cstheme="minorHAnsi"/>
                <w:position w:val="-1"/>
              </w:rPr>
              <w:lastRenderedPageBreak/>
              <w:t xml:space="preserve">Problemstillingen med </w:t>
            </w:r>
            <w:proofErr w:type="spellStart"/>
            <w:r w:rsidRPr="00E2619C">
              <w:rPr>
                <w:rFonts w:cstheme="minorHAnsi"/>
                <w:position w:val="-1"/>
              </w:rPr>
              <w:t>reverse</w:t>
            </w:r>
            <w:proofErr w:type="spellEnd"/>
            <w:r w:rsidRPr="00E2619C">
              <w:rPr>
                <w:rFonts w:cstheme="minorHAnsi"/>
                <w:position w:val="-1"/>
              </w:rPr>
              <w:t xml:space="preserve"> </w:t>
            </w:r>
            <w:proofErr w:type="spellStart"/>
            <w:r w:rsidRPr="00E2619C">
              <w:rPr>
                <w:rFonts w:cstheme="minorHAnsi"/>
                <w:position w:val="-1"/>
              </w:rPr>
              <w:t>causation</w:t>
            </w:r>
            <w:proofErr w:type="spellEnd"/>
            <w:r w:rsidRPr="00E2619C">
              <w:rPr>
                <w:rFonts w:cstheme="minorHAnsi"/>
                <w:position w:val="-1"/>
              </w:rPr>
              <w:t xml:space="preserve"> er ikke begrænset til koffein men gælder i lige så høj grad sammenhængene mellem tobak og spontan abort og alkohol og spontan abort.</w:t>
            </w:r>
          </w:p>
          <w:p w14:paraId="6D3CBE9C" w14:textId="77777777" w:rsidR="00E108F2" w:rsidRPr="00E2619C" w:rsidRDefault="00E108F2">
            <w:pPr>
              <w:rPr>
                <w:rFonts w:cstheme="minorHAnsi"/>
                <w:position w:val="-1"/>
              </w:rPr>
            </w:pPr>
            <w:r w:rsidRPr="00E2619C">
              <w:rPr>
                <w:rFonts w:cstheme="minorHAnsi"/>
                <w:position w:val="-1"/>
              </w:rPr>
              <w:t xml:space="preserve">Som udgangspunkt må vi derfor gøre os klart, at hvis vi ikke mener at kunne konkludere noget om sammenhængen mellem koffein og spontan abort ud fra andet end studier, der med sikkerhed har verificeret en graviditet umiddelbart inden indsamling af eksponeringsoplysninger (koffein), må den samme argumentation gælde tobak og alkohol. </w:t>
            </w:r>
          </w:p>
          <w:p w14:paraId="0D3427C9" w14:textId="115CFE39" w:rsidR="00E108F2" w:rsidRDefault="00E108F2">
            <w:pPr>
              <w:rPr>
                <w:rFonts w:cstheme="minorHAnsi"/>
                <w:position w:val="-1"/>
              </w:rPr>
            </w:pPr>
            <w:r w:rsidRPr="00E2619C">
              <w:rPr>
                <w:rFonts w:cstheme="minorHAnsi"/>
                <w:position w:val="-1"/>
              </w:rPr>
              <w:lastRenderedPageBreak/>
              <w:t xml:space="preserve">Vedr. de 6 studier </w:t>
            </w:r>
            <w:r w:rsidR="00E2619C">
              <w:rPr>
                <w:rFonts w:cstheme="minorHAnsi"/>
                <w:position w:val="-1"/>
              </w:rPr>
              <w:t>omtalt i Lyngsø et al.: 5 af de 6 studier viste en øget risiko for spontan abort ved kaffeforbrug, heraf 3 signifikant øget risiko. Kun 2 af de 6 studier anvendte imidlertid kategoriseringer, der tillader skelnen omkring den relevante grænse på 100 mg/dag. Begge studier viste signifikant øget risiko for spontan abort ved forbrug på hhv. (A) 100-199 mg/dag (HR: 1,62 (95% CI: 1,19 – 2,22)) og (B) 100-299 mg/dag (RR: 2,0 (1,0 – 4,1)). Studie (B) viste desuden i en underanalyse stærkere sammenhæng for kvinder med kvalme end for kvinder uden kvalme.</w:t>
            </w:r>
          </w:p>
          <w:p w14:paraId="0FFEC71B" w14:textId="1C9EF511" w:rsidR="00E108F2" w:rsidRPr="00E2619C" w:rsidRDefault="00E108F2">
            <w:pPr>
              <w:rPr>
                <w:rFonts w:cstheme="minorHAnsi"/>
                <w:position w:val="-1"/>
              </w:rPr>
            </w:pPr>
            <w:r w:rsidRPr="00E2619C">
              <w:rPr>
                <w:rFonts w:cstheme="minorHAnsi"/>
                <w:position w:val="-1"/>
              </w:rPr>
              <w:t>På denne bagg</w:t>
            </w:r>
            <w:r w:rsidR="006512FA">
              <w:rPr>
                <w:rFonts w:cstheme="minorHAnsi"/>
                <w:position w:val="-1"/>
              </w:rPr>
              <w:t xml:space="preserve">rund – </w:t>
            </w:r>
            <w:r w:rsidR="00931EBA">
              <w:rPr>
                <w:rFonts w:cstheme="minorHAnsi"/>
                <w:position w:val="-1"/>
              </w:rPr>
              <w:t xml:space="preserve">(1) </w:t>
            </w:r>
            <w:r w:rsidR="006512FA">
              <w:rPr>
                <w:rFonts w:cstheme="minorHAnsi"/>
                <w:position w:val="-1"/>
              </w:rPr>
              <w:t xml:space="preserve">den samlede </w:t>
            </w:r>
            <w:proofErr w:type="spellStart"/>
            <w:r w:rsidR="006512FA">
              <w:rPr>
                <w:rFonts w:cstheme="minorHAnsi"/>
                <w:position w:val="-1"/>
              </w:rPr>
              <w:t>meta</w:t>
            </w:r>
            <w:proofErr w:type="spellEnd"/>
            <w:r w:rsidR="006512FA">
              <w:rPr>
                <w:rFonts w:cstheme="minorHAnsi"/>
                <w:position w:val="-1"/>
              </w:rPr>
              <w:t>-analyse</w:t>
            </w:r>
            <w:r w:rsidRPr="00E2619C">
              <w:rPr>
                <w:rFonts w:cstheme="minorHAnsi"/>
                <w:position w:val="-1"/>
              </w:rPr>
              <w:t xml:space="preserve"> med statistisk signifikant sammenhæng for ≥100 mg/dag, hvilket i praksis bakkes op af </w:t>
            </w:r>
            <w:r w:rsidR="00931EBA">
              <w:rPr>
                <w:rFonts w:cstheme="minorHAnsi"/>
                <w:position w:val="-1"/>
              </w:rPr>
              <w:t xml:space="preserve">(2) </w:t>
            </w:r>
            <w:r w:rsidR="00B72984">
              <w:rPr>
                <w:rFonts w:cstheme="minorHAnsi"/>
                <w:position w:val="-1"/>
              </w:rPr>
              <w:t xml:space="preserve">de </w:t>
            </w:r>
            <w:r w:rsidR="00931EBA">
              <w:rPr>
                <w:rFonts w:cstheme="minorHAnsi"/>
                <w:position w:val="-1"/>
              </w:rPr>
              <w:t>to</w:t>
            </w:r>
            <w:r w:rsidR="00B72984">
              <w:rPr>
                <w:rFonts w:cstheme="minorHAnsi"/>
                <w:position w:val="-1"/>
              </w:rPr>
              <w:t xml:space="preserve"> studier ovenfor, som kan kaste lys over denne konkrete grænse</w:t>
            </w:r>
            <w:r w:rsidR="00931EBA">
              <w:rPr>
                <w:rFonts w:cstheme="minorHAnsi"/>
                <w:position w:val="-1"/>
              </w:rPr>
              <w:t xml:space="preserve">, og som oven i købet viser stærkere sammenhæng end </w:t>
            </w:r>
            <w:proofErr w:type="spellStart"/>
            <w:r w:rsidR="00931EBA">
              <w:rPr>
                <w:rFonts w:cstheme="minorHAnsi"/>
                <w:position w:val="-1"/>
              </w:rPr>
              <w:t>meta</w:t>
            </w:r>
            <w:proofErr w:type="spellEnd"/>
            <w:r w:rsidR="00931EBA">
              <w:rPr>
                <w:rFonts w:cstheme="minorHAnsi"/>
                <w:position w:val="-1"/>
              </w:rPr>
              <w:t>-analysen</w:t>
            </w:r>
            <w:r w:rsidR="00B72984">
              <w:rPr>
                <w:rFonts w:cstheme="minorHAnsi"/>
                <w:position w:val="-1"/>
              </w:rPr>
              <w:t xml:space="preserve"> - </w:t>
            </w:r>
            <w:r w:rsidRPr="00E2619C">
              <w:rPr>
                <w:rFonts w:cstheme="minorHAnsi"/>
                <w:position w:val="-1"/>
              </w:rPr>
              <w:t xml:space="preserve">mener vi at have grund til at anbefale et indtag på &lt;100 mg/dag. </w:t>
            </w:r>
          </w:p>
          <w:p w14:paraId="2DFFD3FB" w14:textId="51F575A0" w:rsidR="00E108F2" w:rsidRPr="00E2619C" w:rsidRDefault="00E108F2">
            <w:pPr>
              <w:rPr>
                <w:rFonts w:cstheme="minorHAnsi"/>
                <w:position w:val="-1"/>
              </w:rPr>
            </w:pPr>
            <w:r w:rsidRPr="00E2619C">
              <w:rPr>
                <w:rFonts w:cstheme="minorHAnsi"/>
                <w:position w:val="-1"/>
              </w:rPr>
              <w:t>Man kan alternativt argumentere, at det ikke er sikkert vist, at koffein er skadeligt på et nivea</w:t>
            </w:r>
            <w:r w:rsidR="00B72984">
              <w:rPr>
                <w:rFonts w:cstheme="minorHAnsi"/>
                <w:position w:val="-1"/>
              </w:rPr>
              <w:t>u</w:t>
            </w:r>
            <w:r w:rsidRPr="00E2619C">
              <w:rPr>
                <w:rFonts w:cstheme="minorHAnsi"/>
                <w:position w:val="-1"/>
              </w:rPr>
              <w:t xml:space="preserve"> &lt;300 mg/dag, som SST anbefaler. Denne anbefaling hviler imidlertid på tidligere </w:t>
            </w:r>
            <w:proofErr w:type="spellStart"/>
            <w:r w:rsidRPr="00E2619C">
              <w:rPr>
                <w:rFonts w:cstheme="minorHAnsi"/>
                <w:position w:val="-1"/>
              </w:rPr>
              <w:t>meta</w:t>
            </w:r>
            <w:proofErr w:type="spellEnd"/>
            <w:r w:rsidRPr="00E2619C">
              <w:rPr>
                <w:rFonts w:cstheme="minorHAnsi"/>
                <w:position w:val="-1"/>
              </w:rPr>
              <w:t xml:space="preserve">-analyser, der inkluderede færre studier og IKKE tog forbehold for ovenstående problemstilling. </w:t>
            </w:r>
            <w:proofErr w:type="spellStart"/>
            <w:r w:rsidRPr="00E2619C">
              <w:rPr>
                <w:rFonts w:cstheme="minorHAnsi"/>
                <w:position w:val="-1"/>
              </w:rPr>
              <w:t>SSTs</w:t>
            </w:r>
            <w:proofErr w:type="spellEnd"/>
            <w:r w:rsidRPr="00E2619C">
              <w:rPr>
                <w:rFonts w:cstheme="minorHAnsi"/>
                <w:position w:val="-1"/>
              </w:rPr>
              <w:t xml:space="preserve"> anbefaling er dermed </w:t>
            </w:r>
            <w:r w:rsidR="00931EBA">
              <w:rPr>
                <w:rFonts w:cstheme="minorHAnsi"/>
                <w:position w:val="-1"/>
              </w:rPr>
              <w:t>(</w:t>
            </w:r>
            <w:r w:rsidRPr="00E2619C">
              <w:rPr>
                <w:rFonts w:cstheme="minorHAnsi"/>
                <w:position w:val="-1"/>
              </w:rPr>
              <w:t>heller</w:t>
            </w:r>
            <w:r w:rsidR="00931EBA">
              <w:rPr>
                <w:rFonts w:cstheme="minorHAnsi"/>
                <w:position w:val="-1"/>
              </w:rPr>
              <w:t>)</w:t>
            </w:r>
            <w:r w:rsidRPr="00E2619C">
              <w:rPr>
                <w:rFonts w:cstheme="minorHAnsi"/>
                <w:position w:val="-1"/>
              </w:rPr>
              <w:t xml:space="preserve"> ikke valid.</w:t>
            </w:r>
          </w:p>
          <w:p w14:paraId="27324E0C" w14:textId="2CFB65F3" w:rsidR="00E108F2" w:rsidRPr="00E2619C" w:rsidRDefault="00E108F2">
            <w:pPr>
              <w:rPr>
                <w:rFonts w:cstheme="minorHAnsi"/>
                <w:position w:val="-1"/>
              </w:rPr>
            </w:pPr>
            <w:r w:rsidRPr="00E2619C">
              <w:rPr>
                <w:rFonts w:cstheme="minorHAnsi"/>
                <w:position w:val="-1"/>
              </w:rPr>
              <w:t>I så fald må man konkludere, at vi ikke har baggrund for at anbefale noget. Det gælder i så fald også tobak og alkohol, hvor vi heller ikke har baggrund for at fremsætte en valid anbefaling.</w:t>
            </w:r>
          </w:p>
          <w:p w14:paraId="195248D8" w14:textId="30D05812" w:rsidR="00E108F2" w:rsidRPr="00E2619C" w:rsidRDefault="00E108F2">
            <w:pPr>
              <w:rPr>
                <w:rFonts w:cstheme="minorHAnsi"/>
                <w:position w:val="-1"/>
              </w:rPr>
            </w:pPr>
            <w:r w:rsidRPr="00E2619C">
              <w:rPr>
                <w:rFonts w:cstheme="minorHAnsi"/>
                <w:position w:val="-1"/>
              </w:rPr>
              <w:t xml:space="preserve">Man kan så vælge at </w:t>
            </w:r>
            <w:r w:rsidR="00B72984">
              <w:rPr>
                <w:rFonts w:cstheme="minorHAnsi"/>
                <w:position w:val="-1"/>
              </w:rPr>
              <w:t>konkludere</w:t>
            </w:r>
            <w:r w:rsidRPr="00E2619C">
              <w:rPr>
                <w:rFonts w:cstheme="minorHAnsi"/>
                <w:position w:val="-1"/>
              </w:rPr>
              <w:t xml:space="preserve">, at vi i mangel af anbefaling må læne os op af </w:t>
            </w:r>
            <w:proofErr w:type="spellStart"/>
            <w:r w:rsidRPr="00E2619C">
              <w:rPr>
                <w:rFonts w:cstheme="minorHAnsi"/>
                <w:position w:val="-1"/>
              </w:rPr>
              <w:t>SSTs</w:t>
            </w:r>
            <w:proofErr w:type="spellEnd"/>
            <w:r w:rsidRPr="00E2619C">
              <w:rPr>
                <w:rFonts w:cstheme="minorHAnsi"/>
                <w:position w:val="-1"/>
              </w:rPr>
              <w:t xml:space="preserve"> gældende anbefalinger på a</w:t>
            </w:r>
            <w:r w:rsidR="00B72984">
              <w:rPr>
                <w:rFonts w:cstheme="minorHAnsi"/>
                <w:position w:val="-1"/>
              </w:rPr>
              <w:t>l</w:t>
            </w:r>
            <w:r w:rsidRPr="00E2619C">
              <w:rPr>
                <w:rFonts w:cstheme="minorHAnsi"/>
                <w:position w:val="-1"/>
              </w:rPr>
              <w:t>le områder. I så fald er der ikke behov f</w:t>
            </w:r>
            <w:r w:rsidR="00D671CE" w:rsidRPr="00E2619C">
              <w:rPr>
                <w:rFonts w:cstheme="minorHAnsi"/>
                <w:position w:val="-1"/>
              </w:rPr>
              <w:t>o</w:t>
            </w:r>
            <w:r w:rsidRPr="00E2619C">
              <w:rPr>
                <w:rFonts w:cstheme="minorHAnsi"/>
                <w:position w:val="-1"/>
              </w:rPr>
              <w:t>r en guideline</w:t>
            </w:r>
            <w:r w:rsidR="00D671CE" w:rsidRPr="00E2619C">
              <w:rPr>
                <w:rFonts w:cstheme="minorHAnsi"/>
                <w:position w:val="-1"/>
              </w:rPr>
              <w:t>.</w:t>
            </w:r>
            <w:r w:rsidRPr="00E2619C">
              <w:rPr>
                <w:rFonts w:cstheme="minorHAnsi"/>
                <w:position w:val="-1"/>
              </w:rPr>
              <w:t xml:space="preserve"> </w:t>
            </w:r>
            <w:r w:rsidR="00D671CE" w:rsidRPr="00E2619C">
              <w:rPr>
                <w:rFonts w:cstheme="minorHAnsi"/>
                <w:position w:val="-1"/>
              </w:rPr>
              <w:t xml:space="preserve">Man skal så </w:t>
            </w:r>
            <w:r w:rsidR="00B72984">
              <w:rPr>
                <w:rFonts w:cstheme="minorHAnsi"/>
                <w:position w:val="-1"/>
              </w:rPr>
              <w:t xml:space="preserve">også </w:t>
            </w:r>
            <w:r w:rsidR="00D671CE" w:rsidRPr="00E2619C">
              <w:rPr>
                <w:rFonts w:cstheme="minorHAnsi"/>
                <w:position w:val="-1"/>
              </w:rPr>
              <w:t>være opmærksom på, at</w:t>
            </w:r>
            <w:r w:rsidRPr="00E2619C">
              <w:rPr>
                <w:rFonts w:cstheme="minorHAnsi"/>
                <w:position w:val="-1"/>
              </w:rPr>
              <w:t xml:space="preserve"> </w:t>
            </w:r>
            <w:proofErr w:type="spellStart"/>
            <w:r w:rsidRPr="00E2619C">
              <w:rPr>
                <w:rFonts w:cstheme="minorHAnsi"/>
                <w:position w:val="-1"/>
              </w:rPr>
              <w:t>SSTs</w:t>
            </w:r>
            <w:proofErr w:type="spellEnd"/>
            <w:r w:rsidRPr="00E2619C">
              <w:rPr>
                <w:rFonts w:cstheme="minorHAnsi"/>
                <w:position w:val="-1"/>
              </w:rPr>
              <w:t xml:space="preserve"> anbefalinger ikke på nogen af områderne tager højde for endsige nævner </w:t>
            </w:r>
            <w:proofErr w:type="spellStart"/>
            <w:r w:rsidRPr="00E2619C">
              <w:rPr>
                <w:rFonts w:cstheme="minorHAnsi"/>
                <w:position w:val="-1"/>
              </w:rPr>
              <w:t>reverse</w:t>
            </w:r>
            <w:proofErr w:type="spellEnd"/>
            <w:r w:rsidRPr="00E2619C">
              <w:rPr>
                <w:rFonts w:cstheme="minorHAnsi"/>
                <w:position w:val="-1"/>
              </w:rPr>
              <w:t xml:space="preserve"> </w:t>
            </w:r>
            <w:proofErr w:type="spellStart"/>
            <w:r w:rsidRPr="00E2619C">
              <w:rPr>
                <w:rFonts w:cstheme="minorHAnsi"/>
                <w:position w:val="-1"/>
              </w:rPr>
              <w:t>causation</w:t>
            </w:r>
            <w:proofErr w:type="spellEnd"/>
            <w:r w:rsidRPr="00E2619C">
              <w:rPr>
                <w:rFonts w:cstheme="minorHAnsi"/>
                <w:position w:val="-1"/>
              </w:rPr>
              <w:t>.</w:t>
            </w:r>
            <w:r w:rsidR="00D671CE" w:rsidRPr="00E2619C">
              <w:rPr>
                <w:rFonts w:cstheme="minorHAnsi"/>
                <w:position w:val="-1"/>
              </w:rPr>
              <w:t xml:space="preserve"> </w:t>
            </w:r>
          </w:p>
          <w:p w14:paraId="63AC6D97" w14:textId="50AE4AB3" w:rsidR="00D671CE" w:rsidRPr="00E2619C" w:rsidRDefault="00D671CE">
            <w:pPr>
              <w:rPr>
                <w:rFonts w:cstheme="minorHAnsi"/>
                <w:position w:val="-1"/>
              </w:rPr>
            </w:pPr>
            <w:r w:rsidRPr="00E2619C">
              <w:rPr>
                <w:rFonts w:cstheme="minorHAnsi"/>
                <w:position w:val="-1"/>
              </w:rPr>
              <w:t>Guidelinegruppen fastholder på bagg</w:t>
            </w:r>
            <w:r w:rsidR="00931EBA">
              <w:rPr>
                <w:rFonts w:cstheme="minorHAnsi"/>
                <w:position w:val="-1"/>
              </w:rPr>
              <w:t>r</w:t>
            </w:r>
            <w:r w:rsidRPr="00E2619C">
              <w:rPr>
                <w:rFonts w:cstheme="minorHAnsi"/>
                <w:position w:val="-1"/>
              </w:rPr>
              <w:t>und af litteraturgennemgangen, at a</w:t>
            </w:r>
            <w:r w:rsidR="00B72984">
              <w:rPr>
                <w:rFonts w:cstheme="minorHAnsi"/>
                <w:position w:val="-1"/>
              </w:rPr>
              <w:t>n</w:t>
            </w:r>
            <w:r w:rsidRPr="00E2619C">
              <w:rPr>
                <w:rFonts w:cstheme="minorHAnsi"/>
                <w:position w:val="-1"/>
              </w:rPr>
              <w:t xml:space="preserve">befalingen </w:t>
            </w:r>
            <w:r w:rsidR="00B72984">
              <w:rPr>
                <w:rFonts w:cstheme="minorHAnsi"/>
                <w:position w:val="-1"/>
              </w:rPr>
              <w:t xml:space="preserve">som nævnt i guideline </w:t>
            </w:r>
            <w:r w:rsidRPr="00E2619C">
              <w:rPr>
                <w:rFonts w:cstheme="minorHAnsi"/>
                <w:position w:val="-1"/>
              </w:rPr>
              <w:t>er valid, hviler på de kriterier for litteraturudvælgelse, som SST og DSOG har anvendt i andre anbefalinger (tobak og alkohol) og tidligere anbefalinger vedr. koffein. Disse anbefalinger hviler desuden på et forsigtighedsprincip, som også bør gælde her.</w:t>
            </w:r>
          </w:p>
        </w:tc>
      </w:tr>
    </w:tbl>
    <w:p w14:paraId="1D3AE2C0" w14:textId="22CF181E" w:rsidR="00C03A42" w:rsidRPr="00E2619C" w:rsidRDefault="00FD0F63">
      <w:r w:rsidRPr="00E2619C">
        <w:rPr>
          <w:b/>
          <w:position w:val="-1"/>
          <w:sz w:val="24"/>
          <w:szCs w:val="24"/>
        </w:rPr>
        <w:lastRenderedPageBreak/>
        <w:t xml:space="preserve">                                                                   </w:t>
      </w:r>
    </w:p>
    <w:sectPr w:rsidR="00C03A42" w:rsidRPr="00E261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63"/>
    <w:rsid w:val="000671E6"/>
    <w:rsid w:val="000B09A2"/>
    <w:rsid w:val="002B743E"/>
    <w:rsid w:val="006054AC"/>
    <w:rsid w:val="006512FA"/>
    <w:rsid w:val="00931EBA"/>
    <w:rsid w:val="009E2404"/>
    <w:rsid w:val="00A7793B"/>
    <w:rsid w:val="00B72984"/>
    <w:rsid w:val="00BE528E"/>
    <w:rsid w:val="00C03A42"/>
    <w:rsid w:val="00D671CE"/>
    <w:rsid w:val="00D869BB"/>
    <w:rsid w:val="00E108F2"/>
    <w:rsid w:val="00E2619C"/>
    <w:rsid w:val="00E42A03"/>
    <w:rsid w:val="00E86805"/>
    <w:rsid w:val="00F113C7"/>
    <w:rsid w:val="00FD0F63"/>
    <w:rsid w:val="00FE78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222"/>
  <w15:docId w15:val="{6D1F941D-2F58-48F2-986D-A9724693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D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9A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5588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S Kesmodel</dc:creator>
  <cp:lastModifiedBy>Janni Vikkelsø Jeppesen</cp:lastModifiedBy>
  <cp:revision>2</cp:revision>
  <dcterms:created xsi:type="dcterms:W3CDTF">2021-09-19T11:25:00Z</dcterms:created>
  <dcterms:modified xsi:type="dcterms:W3CDTF">2021-09-19T11:25:00Z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